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3F" w:rsidRPr="00C52A3F" w:rsidRDefault="00C52A3F" w:rsidP="00C52A3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52A3F">
        <w:rPr>
          <w:rFonts w:ascii="微软雅黑" w:eastAsia="微软雅黑" w:hAnsi="微软雅黑" w:cs="宋体" w:hint="eastAsia"/>
          <w:b/>
          <w:bCs/>
          <w:color w:val="000000"/>
          <w:kern w:val="36"/>
          <w:sz w:val="30"/>
          <w:szCs w:val="30"/>
        </w:rPr>
        <w:t>血管稳态与重构的调控机制重大研究计划2019年度项目指南</w:t>
      </w:r>
    </w:p>
    <w:bookmarkEnd w:id="0"/>
    <w:p w:rsidR="00C52A3F" w:rsidRPr="00C52A3F" w:rsidRDefault="00C52A3F" w:rsidP="00C52A3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C52A3F">
        <w:rPr>
          <w:rFonts w:ascii="微软雅黑" w:eastAsia="微软雅黑" w:hAnsi="微软雅黑" w:cs="宋体" w:hint="eastAsia"/>
          <w:color w:val="000000"/>
          <w:kern w:val="0"/>
          <w:sz w:val="18"/>
          <w:szCs w:val="18"/>
        </w:rPr>
        <w:t>日期 2019-08-16　  来源：　  作者：　 【</w:t>
      </w:r>
      <w:hyperlink r:id="rId7" w:history="1">
        <w:r w:rsidRPr="00C52A3F">
          <w:rPr>
            <w:rFonts w:ascii="微软雅黑" w:eastAsia="微软雅黑" w:hAnsi="微软雅黑" w:cs="宋体" w:hint="eastAsia"/>
            <w:color w:val="333333"/>
            <w:kern w:val="0"/>
            <w:sz w:val="18"/>
            <w:szCs w:val="18"/>
          </w:rPr>
          <w:t>大</w:t>
        </w:r>
      </w:hyperlink>
      <w:r w:rsidRPr="00C52A3F">
        <w:rPr>
          <w:rFonts w:ascii="微软雅黑" w:eastAsia="微软雅黑" w:hAnsi="微软雅黑" w:cs="宋体" w:hint="eastAsia"/>
          <w:color w:val="000000"/>
          <w:kern w:val="0"/>
          <w:sz w:val="18"/>
          <w:szCs w:val="18"/>
        </w:rPr>
        <w:t> </w:t>
      </w:r>
      <w:hyperlink r:id="rId8" w:history="1">
        <w:r w:rsidRPr="00C52A3F">
          <w:rPr>
            <w:rFonts w:ascii="微软雅黑" w:eastAsia="微软雅黑" w:hAnsi="微软雅黑" w:cs="宋体" w:hint="eastAsia"/>
            <w:color w:val="333333"/>
            <w:kern w:val="0"/>
            <w:sz w:val="18"/>
            <w:szCs w:val="18"/>
          </w:rPr>
          <w:t>中</w:t>
        </w:r>
      </w:hyperlink>
      <w:r w:rsidRPr="00C52A3F">
        <w:rPr>
          <w:rFonts w:ascii="微软雅黑" w:eastAsia="微软雅黑" w:hAnsi="微软雅黑" w:cs="宋体" w:hint="eastAsia"/>
          <w:color w:val="000000"/>
          <w:kern w:val="0"/>
          <w:sz w:val="18"/>
          <w:szCs w:val="18"/>
        </w:rPr>
        <w:t> </w:t>
      </w:r>
      <w:hyperlink r:id="rId9" w:history="1">
        <w:r w:rsidRPr="00C52A3F">
          <w:rPr>
            <w:rFonts w:ascii="微软雅黑" w:eastAsia="微软雅黑" w:hAnsi="微软雅黑" w:cs="宋体" w:hint="eastAsia"/>
            <w:color w:val="333333"/>
            <w:kern w:val="0"/>
            <w:sz w:val="18"/>
            <w:szCs w:val="18"/>
          </w:rPr>
          <w:t>小</w:t>
        </w:r>
      </w:hyperlink>
      <w:r w:rsidRPr="00C52A3F">
        <w:rPr>
          <w:rFonts w:ascii="微软雅黑" w:eastAsia="微软雅黑" w:hAnsi="微软雅黑" w:cs="宋体" w:hint="eastAsia"/>
          <w:color w:val="000000"/>
          <w:kern w:val="0"/>
          <w:sz w:val="18"/>
          <w:szCs w:val="18"/>
        </w:rPr>
        <w:t>】　  【</w:t>
      </w:r>
      <w:hyperlink r:id="rId10" w:history="1">
        <w:r w:rsidRPr="00C52A3F">
          <w:rPr>
            <w:rFonts w:ascii="微软雅黑" w:eastAsia="微软雅黑" w:hAnsi="微软雅黑" w:cs="宋体" w:hint="eastAsia"/>
            <w:color w:val="333333"/>
            <w:kern w:val="0"/>
            <w:sz w:val="18"/>
            <w:szCs w:val="18"/>
          </w:rPr>
          <w:t>打印</w:t>
        </w:r>
      </w:hyperlink>
      <w:r w:rsidRPr="00C52A3F">
        <w:rPr>
          <w:rFonts w:ascii="微软雅黑" w:eastAsia="微软雅黑" w:hAnsi="微软雅黑" w:cs="宋体" w:hint="eastAsia"/>
          <w:color w:val="000000"/>
          <w:kern w:val="0"/>
          <w:sz w:val="18"/>
          <w:szCs w:val="18"/>
        </w:rPr>
        <w:t>】　  【</w:t>
      </w:r>
      <w:hyperlink r:id="rId11" w:history="1">
        <w:r w:rsidRPr="00C52A3F">
          <w:rPr>
            <w:rFonts w:ascii="微软雅黑" w:eastAsia="微软雅黑" w:hAnsi="微软雅黑" w:cs="宋体" w:hint="eastAsia"/>
            <w:color w:val="333333"/>
            <w:kern w:val="0"/>
            <w:sz w:val="18"/>
            <w:szCs w:val="18"/>
          </w:rPr>
          <w:t>关闭</w:t>
        </w:r>
      </w:hyperlink>
      <w:r w:rsidRPr="00C52A3F">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C52A3F" w:rsidRPr="00C52A3F" w:rsidTr="00C52A3F">
        <w:trPr>
          <w:trHeight w:val="150"/>
          <w:tblCellSpacing w:w="0" w:type="dxa"/>
        </w:trPr>
        <w:tc>
          <w:tcPr>
            <w:tcW w:w="0" w:type="auto"/>
            <w:vAlign w:val="center"/>
            <w:hideMark/>
          </w:tcPr>
          <w:p w:rsidR="00C52A3F" w:rsidRPr="00C52A3F" w:rsidRDefault="00C52A3F" w:rsidP="00C52A3F">
            <w:pPr>
              <w:widowControl/>
              <w:jc w:val="left"/>
              <w:rPr>
                <w:rFonts w:ascii="宋体" w:eastAsia="宋体" w:hAnsi="宋体" w:cs="宋体"/>
                <w:kern w:val="0"/>
                <w:sz w:val="16"/>
                <w:szCs w:val="24"/>
              </w:rPr>
            </w:pPr>
          </w:p>
        </w:tc>
      </w:tr>
      <w:tr w:rsidR="00C52A3F" w:rsidRPr="00C52A3F" w:rsidTr="00C52A3F">
        <w:trPr>
          <w:tblCellSpacing w:w="0" w:type="dxa"/>
        </w:trPr>
        <w:tc>
          <w:tcPr>
            <w:tcW w:w="0" w:type="auto"/>
            <w:vAlign w:val="center"/>
            <w:hideMark/>
          </w:tcPr>
          <w:p w:rsidR="00C52A3F" w:rsidRPr="00C52A3F" w:rsidRDefault="00C52A3F" w:rsidP="00C52A3F">
            <w:pPr>
              <w:widowControl/>
              <w:jc w:val="center"/>
              <w:rPr>
                <w:rFonts w:ascii="宋体" w:eastAsia="宋体" w:hAnsi="宋体" w:cs="宋体"/>
                <w:kern w:val="0"/>
                <w:sz w:val="24"/>
                <w:szCs w:val="24"/>
              </w:rPr>
            </w:pPr>
          </w:p>
        </w:tc>
      </w:tr>
    </w:tbl>
    <w:p w:rsidR="00C52A3F" w:rsidRPr="00C52A3F" w:rsidRDefault="00C52A3F" w:rsidP="00C52A3F">
      <w:pPr>
        <w:widowControl/>
        <w:shd w:val="clear" w:color="auto" w:fill="FFFFFF"/>
        <w:spacing w:line="480" w:lineRule="atLeast"/>
        <w:rPr>
          <w:rFonts w:ascii="宋体" w:eastAsia="宋体" w:hAnsi="宋体" w:cs="宋体" w:hint="eastAsia"/>
          <w:kern w:val="0"/>
          <w:sz w:val="24"/>
          <w:szCs w:val="24"/>
        </w:rPr>
      </w:pPr>
    </w:p>
    <w:p w:rsidR="00C52A3F" w:rsidRPr="00C52A3F" w:rsidRDefault="00C52A3F" w:rsidP="00C52A3F">
      <w:pPr>
        <w:widowControl/>
        <w:shd w:val="clear" w:color="auto" w:fill="FFFFFF"/>
        <w:spacing w:before="150" w:after="150" w:line="390" w:lineRule="atLeast"/>
        <w:rPr>
          <w:rFonts w:ascii="宋体" w:eastAsia="宋体" w:hAnsi="宋体" w:cs="宋体" w:hint="eastAsia"/>
          <w:kern w:val="0"/>
          <w:sz w:val="24"/>
          <w:szCs w:val="24"/>
        </w:rPr>
      </w:pPr>
      <w:r w:rsidRPr="00C52A3F">
        <w:rPr>
          <w:rFonts w:ascii="微软雅黑" w:eastAsia="微软雅黑" w:hAnsi="微软雅黑" w:cs="宋体" w:hint="eastAsia"/>
          <w:color w:val="000000"/>
          <w:kern w:val="0"/>
          <w:sz w:val="20"/>
          <w:szCs w:val="20"/>
        </w:rPr>
        <w:t xml:space="preserve">　　</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旨在深入探讨血管稳态维持及血管重构的分子机制，揭示血管重构的本质，阐明血管稳态维持的生理机制及血管稳态失衡相关疾病发生的病理机制，以期在重大血管疾病的早期诊断、预警及其治疗方面产生重大突破。</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一、科学目标</w:t>
      </w:r>
      <w:r w:rsidRPr="00C52A3F">
        <w:rPr>
          <w:rFonts w:ascii="微软雅黑" w:eastAsia="微软雅黑" w:hAnsi="微软雅黑" w:cs="宋体" w:hint="eastAsia"/>
          <w:color w:val="000000"/>
          <w:kern w:val="0"/>
          <w:sz w:val="20"/>
          <w:szCs w:val="20"/>
        </w:rPr>
        <w:t> </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重大研究计划以解决重大血管疾病共性的前沿科学问题为导向，以血管稳态与重构的调控机制研究为中心，利用分子生物学、分子影像学、组学和生物力学、化学与材料学等学科交叉及系统生物学的方法和策略，阐明血管结构与功能稳态和疾病过程中重构调控的关键信号通路和网络模式,以期揭示以血管功能与结构病理改变为基础的重大疾病的发病机制，寻找早期诊断和疾病转归的分子标志及干预靶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二、核心科学问题</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血管稳态与重构的动态调控网络和关键节点。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三、2019年度重点资助研究方向</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研究计划从2013年开始，已资助21项重点支持项目、122项培育项目及10项集成项目。根据立项资助和在</w:t>
      </w:r>
      <w:proofErr w:type="gramStart"/>
      <w:r w:rsidRPr="00C52A3F">
        <w:rPr>
          <w:rFonts w:ascii="微软雅黑" w:eastAsia="微软雅黑" w:hAnsi="微软雅黑" w:cs="宋体" w:hint="eastAsia"/>
          <w:color w:val="000000"/>
          <w:kern w:val="0"/>
          <w:sz w:val="20"/>
          <w:szCs w:val="20"/>
        </w:rPr>
        <w:t>研</w:t>
      </w:r>
      <w:proofErr w:type="gramEnd"/>
      <w:r w:rsidRPr="00C52A3F">
        <w:rPr>
          <w:rFonts w:ascii="微软雅黑" w:eastAsia="微软雅黑" w:hAnsi="微软雅黑" w:cs="宋体" w:hint="eastAsia"/>
          <w:color w:val="000000"/>
          <w:kern w:val="0"/>
          <w:sz w:val="20"/>
          <w:szCs w:val="20"/>
        </w:rPr>
        <w:t>项目的实施情况，2019年将进一步体现“凝聚方向和重点突破”，旨在申请人前期已取得重要进展的资助成果的基础上取得更多原创性的突破。在资助方向中继续鼓励以多学科交叉手段开展深入的机制性研究；鼓励项目申请人进行优势互补的集成协作申报；鼓励利用系统生物学理论和方法构建血管稳态与重构的动态调控网络和关键节点；鼓励利用临床标本与数据资源开展研究。2019年拟重点资助如下研究方向。</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（一）集成项目。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1.利用分子影像等可视化手段，研究血管稳态重构动态过程中的关键环节或病理生理过程的变化规律。</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2.利用学科交叉技术及动态分析手段，深入解析血管稳态重构过程的演变规律和干预的关键靶点。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（二）培育项目。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血管损伤修复的新技术和新方法。利用组织工程、再生医学、基因及药物治疗、分子影像学等方法，结合多学科交叉手段研究血管损伤修复的新技术和新方法。</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四、2019年度资助计划</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2019年拟资助培育项目约10项，直接费用平均资助强度约40万元/项，资助期限为2年，培育项目申请书中研究期限应填写“2020年1月1日-2021年12月31日”；集成项目约3项，直接费用平均资助强度约200万元，资助期限为2年，集成项目申请书中研究期限应填写“2020年1月1日-2021年12月31日”。</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五、申请要求及注意事项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（一）申请条件。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研究计划项目申请人应当具备以下条件：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1.具有承担基础研究课题的经历；</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2.具有高级专业技术职务（职称）。</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在站博士后研究人员以及正在攻读研究生学位的人员不得申请。</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（二）限</w:t>
      </w:r>
      <w:proofErr w:type="gramStart"/>
      <w:r w:rsidRPr="00C52A3F">
        <w:rPr>
          <w:rFonts w:ascii="微软雅黑" w:eastAsia="微软雅黑" w:hAnsi="微软雅黑" w:cs="宋体" w:hint="eastAsia"/>
          <w:color w:val="000000"/>
          <w:kern w:val="0"/>
          <w:sz w:val="20"/>
          <w:szCs w:val="20"/>
        </w:rPr>
        <w:t>项申请</w:t>
      </w:r>
      <w:proofErr w:type="gramEnd"/>
      <w:r w:rsidRPr="00C52A3F">
        <w:rPr>
          <w:rFonts w:ascii="微软雅黑" w:eastAsia="微软雅黑" w:hAnsi="微软雅黑" w:cs="宋体" w:hint="eastAsia"/>
          <w:color w:val="000000"/>
          <w:kern w:val="0"/>
          <w:sz w:val="20"/>
          <w:szCs w:val="20"/>
        </w:rPr>
        <w:t>规定。</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2.申请和承担项目总数的限制规定。</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（1）高级专业技术职务（职称）人员申请和承担项目总数：具有高级专业技术职务（职称）的人员，申请（包括申请人和主要参与者）和正在承担（包括负责人和主要参与者）以下类型项目总数合计限为</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宋体" w:hint="eastAsia"/>
          <w:color w:val="000000"/>
          <w:kern w:val="0"/>
          <w:sz w:val="20"/>
          <w:szCs w:val="20"/>
        </w:rPr>
        <w:t>3</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微软雅黑" w:hint="eastAsia"/>
          <w:color w:val="000000"/>
          <w:kern w:val="0"/>
          <w:sz w:val="20"/>
          <w:szCs w:val="20"/>
        </w:rPr>
        <w:t>项：面上项目、重点项目、重大项目、重大研究计划项目（不包</w:t>
      </w:r>
      <w:r w:rsidRPr="00C52A3F">
        <w:rPr>
          <w:rFonts w:ascii="微软雅黑" w:eastAsia="微软雅黑" w:hAnsi="微软雅黑" w:cs="宋体" w:hint="eastAsia"/>
          <w:color w:val="000000"/>
          <w:kern w:val="0"/>
          <w:sz w:val="20"/>
          <w:szCs w:val="20"/>
        </w:rPr>
        <w:t>括集成项目和战略研究项目）、联合基金项目、青年科学基金项目、地区科学基金项目、优秀青年科学基金项目、国家杰出青年科学基金项目、重点国际（地区）合作研究项目、直接费用大于</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宋体" w:hint="eastAsia"/>
          <w:color w:val="000000"/>
          <w:kern w:val="0"/>
          <w:sz w:val="20"/>
          <w:szCs w:val="20"/>
        </w:rPr>
        <w:t>200</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微软雅黑" w:hint="eastAsia"/>
          <w:color w:val="000000"/>
          <w:kern w:val="0"/>
          <w:sz w:val="20"/>
          <w:szCs w:val="20"/>
        </w:rPr>
        <w:t>万元</w:t>
      </w:r>
      <w:r w:rsidRPr="00C52A3F">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C52A3F">
        <w:rPr>
          <w:rFonts w:ascii="微软雅黑" w:eastAsia="微软雅黑" w:hAnsi="微软雅黑" w:cs="宋体" w:hint="eastAsia"/>
          <w:color w:val="000000"/>
          <w:kern w:val="0"/>
          <w:sz w:val="20"/>
          <w:szCs w:val="20"/>
        </w:rPr>
        <w:t>含承担</w:t>
      </w:r>
      <w:proofErr w:type="gramEnd"/>
      <w:r w:rsidRPr="00C52A3F">
        <w:rPr>
          <w:rFonts w:ascii="微软雅黑" w:eastAsia="微软雅黑" w:hAnsi="微软雅黑" w:cs="宋体" w:hint="eastAsia"/>
          <w:color w:val="000000"/>
          <w:kern w:val="0"/>
          <w:sz w:val="20"/>
          <w:szCs w:val="20"/>
        </w:rPr>
        <w:t>国家重大科研仪器设备研制专项项目）、基础科学中心项目、资助期限超过</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宋体" w:hint="eastAsia"/>
          <w:color w:val="000000"/>
          <w:kern w:val="0"/>
          <w:sz w:val="20"/>
          <w:szCs w:val="20"/>
        </w:rPr>
        <w:t>1</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微软雅黑" w:hint="eastAsia"/>
          <w:color w:val="000000"/>
          <w:kern w:val="0"/>
          <w:sz w:val="20"/>
          <w:szCs w:val="20"/>
        </w:rPr>
        <w:t>年的应急管理项目以及资助期限超过</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宋体" w:hint="eastAsia"/>
          <w:color w:val="000000"/>
          <w:kern w:val="0"/>
          <w:sz w:val="20"/>
          <w:szCs w:val="20"/>
        </w:rPr>
        <w:t>1</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微软雅黑" w:hint="eastAsia"/>
          <w:color w:val="000000"/>
          <w:kern w:val="0"/>
          <w:sz w:val="20"/>
          <w:szCs w:val="20"/>
        </w:rPr>
        <w:t>年的专项项目</w:t>
      </w:r>
      <w:r w:rsidRPr="00C52A3F">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宋体" w:hint="eastAsia"/>
          <w:color w:val="000000"/>
          <w:kern w:val="0"/>
          <w:sz w:val="20"/>
          <w:szCs w:val="20"/>
        </w:rPr>
        <w:t>1</w:t>
      </w:r>
      <w:r w:rsidRPr="00C52A3F">
        <w:rPr>
          <w:rFonts w:ascii="MS Gothic" w:eastAsia="MS Gothic" w:hAnsi="MS Gothic" w:cs="MS Gothic" w:hint="eastAsia"/>
          <w:color w:val="000000"/>
          <w:kern w:val="0"/>
          <w:sz w:val="20"/>
          <w:szCs w:val="20"/>
        </w:rPr>
        <w:t> </w:t>
      </w:r>
      <w:r w:rsidRPr="00C52A3F">
        <w:rPr>
          <w:rFonts w:ascii="微软雅黑" w:eastAsia="微软雅黑" w:hAnsi="微软雅黑" w:cs="微软雅黑" w:hint="eastAsia"/>
          <w:color w:val="000000"/>
          <w:kern w:val="0"/>
          <w:sz w:val="20"/>
          <w:szCs w:val="20"/>
        </w:rPr>
        <w:t>项；</w:t>
      </w:r>
      <w:r w:rsidRPr="00C52A3F">
        <w:rPr>
          <w:rFonts w:ascii="微软雅黑" w:eastAsia="微软雅黑" w:hAnsi="微软雅黑" w:cs="宋体" w:hint="eastAsia"/>
          <w:color w:val="000000"/>
          <w:kern w:val="0"/>
          <w:sz w:val="20"/>
          <w:szCs w:val="20"/>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3.计入申请和承担项目总数的部分项目类型的特殊要求。</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（1）优秀青年科学基金项目和国家杰出青年科学基金项目申请时不计</w:t>
      </w:r>
      <w:proofErr w:type="gramStart"/>
      <w:r w:rsidRPr="00C52A3F">
        <w:rPr>
          <w:rFonts w:ascii="微软雅黑" w:eastAsia="微软雅黑" w:hAnsi="微软雅黑" w:cs="宋体" w:hint="eastAsia"/>
          <w:color w:val="000000"/>
          <w:kern w:val="0"/>
          <w:sz w:val="20"/>
          <w:szCs w:val="20"/>
        </w:rPr>
        <w:t>入申请</w:t>
      </w:r>
      <w:proofErr w:type="gramEnd"/>
      <w:r w:rsidRPr="00C52A3F">
        <w:rPr>
          <w:rFonts w:ascii="微软雅黑" w:eastAsia="微软雅黑" w:hAnsi="微软雅黑" w:cs="宋体" w:hint="eastAsia"/>
          <w:color w:val="000000"/>
          <w:kern w:val="0"/>
          <w:sz w:val="20"/>
          <w:szCs w:val="20"/>
        </w:rPr>
        <w:t>和承担总数范围；正式接收申请到自然科学基金委</w:t>
      </w:r>
      <w:proofErr w:type="gramStart"/>
      <w:r w:rsidRPr="00C52A3F">
        <w:rPr>
          <w:rFonts w:ascii="微软雅黑" w:eastAsia="微软雅黑" w:hAnsi="微软雅黑" w:cs="宋体" w:hint="eastAsia"/>
          <w:color w:val="000000"/>
          <w:kern w:val="0"/>
          <w:sz w:val="20"/>
          <w:szCs w:val="20"/>
        </w:rPr>
        <w:t>作出</w:t>
      </w:r>
      <w:proofErr w:type="gramEnd"/>
      <w:r w:rsidRPr="00C52A3F">
        <w:rPr>
          <w:rFonts w:ascii="微软雅黑" w:eastAsia="微软雅黑" w:hAnsi="微软雅黑" w:cs="宋体" w:hint="eastAsia"/>
          <w:color w:val="000000"/>
          <w:kern w:val="0"/>
          <w:sz w:val="20"/>
          <w:szCs w:val="20"/>
        </w:rPr>
        <w:t>资助与否决定之前，以及获得资助后，计入申请和承担总数范围。</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（2）基础科学中心项目申请时不计</w:t>
      </w:r>
      <w:proofErr w:type="gramStart"/>
      <w:r w:rsidRPr="00C52A3F">
        <w:rPr>
          <w:rFonts w:ascii="微软雅黑" w:eastAsia="微软雅黑" w:hAnsi="微软雅黑" w:cs="宋体" w:hint="eastAsia"/>
          <w:color w:val="000000"/>
          <w:kern w:val="0"/>
          <w:sz w:val="20"/>
          <w:szCs w:val="20"/>
        </w:rPr>
        <w:t>入申请</w:t>
      </w:r>
      <w:proofErr w:type="gramEnd"/>
      <w:r w:rsidRPr="00C52A3F">
        <w:rPr>
          <w:rFonts w:ascii="微软雅黑" w:eastAsia="微软雅黑" w:hAnsi="微软雅黑" w:cs="宋体" w:hint="eastAsia"/>
          <w:color w:val="000000"/>
          <w:kern w:val="0"/>
          <w:sz w:val="20"/>
          <w:szCs w:val="20"/>
        </w:rPr>
        <w:t>和承担总数范围；正式接收申请到自然科学基金委</w:t>
      </w:r>
      <w:proofErr w:type="gramStart"/>
      <w:r w:rsidRPr="00C52A3F">
        <w:rPr>
          <w:rFonts w:ascii="微软雅黑" w:eastAsia="微软雅黑" w:hAnsi="微软雅黑" w:cs="宋体" w:hint="eastAsia"/>
          <w:color w:val="000000"/>
          <w:kern w:val="0"/>
          <w:sz w:val="20"/>
          <w:szCs w:val="20"/>
        </w:rPr>
        <w:t>作出</w:t>
      </w:r>
      <w:proofErr w:type="gramEnd"/>
      <w:r w:rsidRPr="00C52A3F">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（3）国家重大科研仪器研制项目（部门推荐）获得资助后，项目负责人在准予结题前不得作为申请人申请重大研究计划项目。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（三）申请注意事项。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1.申请书报送日期为2019年9月16日-9月20日16时。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研究计划项目申请书采用在线方式撰写。对申请人具体要求如下：</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（1）申请人在填报申请书前，应当认真阅读本项目指南和《2019年度国家自然科学基金项目指南》中申请须知和限</w:t>
      </w:r>
      <w:proofErr w:type="gramStart"/>
      <w:r w:rsidRPr="00C52A3F">
        <w:rPr>
          <w:rFonts w:ascii="微软雅黑" w:eastAsia="微软雅黑" w:hAnsi="微软雅黑" w:cs="宋体" w:hint="eastAsia"/>
          <w:color w:val="000000"/>
          <w:kern w:val="0"/>
          <w:sz w:val="20"/>
          <w:szCs w:val="20"/>
        </w:rPr>
        <w:t>项申请</w:t>
      </w:r>
      <w:proofErr w:type="gramEnd"/>
      <w:r w:rsidRPr="00C52A3F">
        <w:rPr>
          <w:rFonts w:ascii="微软雅黑" w:eastAsia="微软雅黑" w:hAnsi="微软雅黑" w:cs="宋体" w:hint="eastAsia"/>
          <w:color w:val="000000"/>
          <w:kern w:val="0"/>
          <w:sz w:val="20"/>
          <w:szCs w:val="20"/>
        </w:rPr>
        <w:t>规定的相关内容，不符合项目指南和相关要求的申请项目不予受理。</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（3）申请人登录科学基金网络信息系统（以下简称信息系统，没有系统账号的申请人请向依托单位基金管理联系人申请开户），按照撰写提纲要求撰写申请书。</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4）申请书中的资助类别选择“重大研究计划”，亚类说明选择“培育项目”或“集成项目”，附注说明选择“血管稳态与重构的调控机制”，根据申请的具体研究内容选择相应的申请代码。以上选择不准确或未选择的项目申请将不予受理。</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r w:rsidRPr="00C52A3F">
        <w:rPr>
          <w:rFonts w:ascii="微软雅黑" w:eastAsia="微软雅黑" w:hAnsi="微软雅黑" w:cs="宋体" w:hint="eastAsia"/>
          <w:b/>
          <w:bCs/>
          <w:color w:val="000000"/>
          <w:kern w:val="0"/>
          <w:sz w:val="20"/>
          <w:szCs w:val="20"/>
        </w:rPr>
        <w:t>培育项目的合作研究单位的数量不得超过2个，集成项目的合作单位不得超过4个。</w:t>
      </w:r>
      <w:r w:rsidRPr="00C52A3F">
        <w:rPr>
          <w:rFonts w:ascii="微软雅黑" w:eastAsia="微软雅黑" w:hAnsi="微软雅黑" w:cs="宋体" w:hint="eastAsia"/>
          <w:color w:val="000000"/>
          <w:kern w:val="0"/>
          <w:sz w:val="20"/>
          <w:szCs w:val="20"/>
        </w:rPr>
        <w:t>集成项目主要参与者必须是重大研究计划的实际贡献者。</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（5）申请人应当按照重大研究计划申请书的撰写提纲撰写申请书，应突出有限目标和重点突破，明确对实现研究计划总体目标和解决核心科学问题的贡献。</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如果申请人已经承担与</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研究计划相关的其他科技计划项目，应当在报告正文的“研究基础”部分论述申请项目与其他相关项目的区别与联系。</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（7）申请人完成申请书撰写后，在线提交电子申请书及附件材料，下载并打印最终PDF版本申请书，向依托单位提交签字后的纸质申请书原件。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（8）申请人应保证纸质申请书与电子版内容一致。</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3.依托单位应对本单位申请人所提交申请材料的真实性和完整性进行审核，并在规定时间内将申请材料报送国家自然科学基金委员会。具体要求如下：</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（1）应在规定的项目申请截止日期（2019年9月20日16时）前提交本单位电子版申请书及附件材料，并统一报送经单位签字盖章后的纸质申请书原件（一式一份）及要求报送的纸质附件材料。</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（2）提交电子版申请书时，应通过信息系统逐项确认。</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（3）报送纸质申请材料时，还应提供由法定代表人签字、依托单位加盖公章的依托单位科研诚信承诺书，并</w:t>
      </w:r>
      <w:proofErr w:type="gramStart"/>
      <w:r w:rsidRPr="00C52A3F">
        <w:rPr>
          <w:rFonts w:ascii="微软雅黑" w:eastAsia="微软雅黑" w:hAnsi="微软雅黑" w:cs="宋体" w:hint="eastAsia"/>
          <w:color w:val="000000"/>
          <w:kern w:val="0"/>
          <w:sz w:val="20"/>
          <w:szCs w:val="20"/>
        </w:rPr>
        <w:t>附申请</w:t>
      </w:r>
      <w:proofErr w:type="gramEnd"/>
      <w:r w:rsidRPr="00C52A3F">
        <w:rPr>
          <w:rFonts w:ascii="微软雅黑" w:eastAsia="微软雅黑" w:hAnsi="微软雅黑" w:cs="宋体" w:hint="eastAsia"/>
          <w:color w:val="000000"/>
          <w:kern w:val="0"/>
          <w:sz w:val="20"/>
          <w:szCs w:val="20"/>
        </w:rPr>
        <w:t>项目清单，材料不完整不予接收。</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请勿使用邮政包裹，以免延误申请。</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4.申请书由国家自然科学基金委员会项目材料接收工作组负责接收，材料接收工作组联系方式如下：</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w:t>
      </w:r>
      <w:proofErr w:type="gramStart"/>
      <w:r w:rsidRPr="00C52A3F">
        <w:rPr>
          <w:rFonts w:ascii="微软雅黑" w:eastAsia="微软雅黑" w:hAnsi="微软雅黑" w:cs="宋体" w:hint="eastAsia"/>
          <w:color w:val="000000"/>
          <w:kern w:val="0"/>
          <w:sz w:val="20"/>
          <w:szCs w:val="20"/>
        </w:rPr>
        <w:t>邮</w:t>
      </w:r>
      <w:proofErr w:type="gramEnd"/>
      <w:r w:rsidRPr="00C52A3F">
        <w:rPr>
          <w:rFonts w:ascii="微软雅黑" w:eastAsia="微软雅黑" w:hAnsi="微软雅黑" w:cs="宋体" w:hint="eastAsia"/>
          <w:color w:val="000000"/>
          <w:kern w:val="0"/>
          <w:sz w:val="20"/>
          <w:szCs w:val="20"/>
        </w:rPr>
        <w:t xml:space="preserve">　　编：100085</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联系电话：010-62328591</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5.</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研究计划咨询方式：</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lastRenderedPageBreak/>
        <w:t xml:space="preserve">　　国家自然科学基金委员会医学科学部一处</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联系电话：010-62327215</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（四）其他注意事项。</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C52A3F" w:rsidRPr="00C52A3F" w:rsidRDefault="00C52A3F" w:rsidP="00C52A3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2A3F">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C52A3F">
        <w:rPr>
          <w:rFonts w:ascii="微软雅黑" w:eastAsia="微软雅黑" w:hAnsi="微软雅黑" w:cs="宋体" w:hint="eastAsia"/>
          <w:color w:val="000000"/>
          <w:kern w:val="0"/>
          <w:sz w:val="20"/>
          <w:szCs w:val="20"/>
        </w:rPr>
        <w:t>本重大</w:t>
      </w:r>
      <w:proofErr w:type="gramEnd"/>
      <w:r w:rsidRPr="00C52A3F">
        <w:rPr>
          <w:rFonts w:ascii="微软雅黑" w:eastAsia="微软雅黑" w:hAnsi="微软雅黑" w:cs="宋体" w:hint="eastAsia"/>
          <w:color w:val="000000"/>
          <w:kern w:val="0"/>
          <w:sz w:val="20"/>
          <w:szCs w:val="20"/>
        </w:rPr>
        <w:t>研究计划指导专家组和管理工作组所组织的上述学术交流活动。</w:t>
      </w:r>
    </w:p>
    <w:p w:rsidR="006D7C33" w:rsidRPr="00C52A3F" w:rsidRDefault="006D7C33"/>
    <w:sectPr w:rsidR="006D7C33" w:rsidRPr="00C52A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96" w:rsidRDefault="001C3C96" w:rsidP="00C52A3F">
      <w:r>
        <w:separator/>
      </w:r>
    </w:p>
  </w:endnote>
  <w:endnote w:type="continuationSeparator" w:id="0">
    <w:p w:rsidR="001C3C96" w:rsidRDefault="001C3C96" w:rsidP="00C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96" w:rsidRDefault="001C3C96" w:rsidP="00C52A3F">
      <w:r>
        <w:separator/>
      </w:r>
    </w:p>
  </w:footnote>
  <w:footnote w:type="continuationSeparator" w:id="0">
    <w:p w:rsidR="001C3C96" w:rsidRDefault="001C3C96" w:rsidP="00C5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C5"/>
    <w:rsid w:val="001C3C96"/>
    <w:rsid w:val="006D7C33"/>
    <w:rsid w:val="008067C5"/>
    <w:rsid w:val="00C5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52A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A3F"/>
    <w:rPr>
      <w:sz w:val="18"/>
      <w:szCs w:val="18"/>
    </w:rPr>
  </w:style>
  <w:style w:type="paragraph" w:styleId="a4">
    <w:name w:val="footer"/>
    <w:basedOn w:val="a"/>
    <w:link w:val="Char0"/>
    <w:uiPriority w:val="99"/>
    <w:unhideWhenUsed/>
    <w:rsid w:val="00C52A3F"/>
    <w:pPr>
      <w:tabs>
        <w:tab w:val="center" w:pos="4153"/>
        <w:tab w:val="right" w:pos="8306"/>
      </w:tabs>
      <w:snapToGrid w:val="0"/>
      <w:jc w:val="left"/>
    </w:pPr>
    <w:rPr>
      <w:sz w:val="18"/>
      <w:szCs w:val="18"/>
    </w:rPr>
  </w:style>
  <w:style w:type="character" w:customStyle="1" w:styleId="Char0">
    <w:name w:val="页脚 Char"/>
    <w:basedOn w:val="a0"/>
    <w:link w:val="a4"/>
    <w:uiPriority w:val="99"/>
    <w:rsid w:val="00C52A3F"/>
    <w:rPr>
      <w:sz w:val="18"/>
      <w:szCs w:val="18"/>
    </w:rPr>
  </w:style>
  <w:style w:type="character" w:customStyle="1" w:styleId="1Char">
    <w:name w:val="标题 1 Char"/>
    <w:basedOn w:val="a0"/>
    <w:link w:val="1"/>
    <w:uiPriority w:val="9"/>
    <w:rsid w:val="00C52A3F"/>
    <w:rPr>
      <w:rFonts w:ascii="宋体" w:eastAsia="宋体" w:hAnsi="宋体" w:cs="宋体"/>
      <w:b/>
      <w:bCs/>
      <w:kern w:val="36"/>
      <w:sz w:val="48"/>
      <w:szCs w:val="48"/>
    </w:rPr>
  </w:style>
  <w:style w:type="character" w:styleId="a5">
    <w:name w:val="Hyperlink"/>
    <w:basedOn w:val="a0"/>
    <w:uiPriority w:val="99"/>
    <w:semiHidden/>
    <w:unhideWhenUsed/>
    <w:rsid w:val="00C52A3F"/>
    <w:rPr>
      <w:color w:val="0000FF"/>
      <w:u w:val="single"/>
    </w:rPr>
  </w:style>
  <w:style w:type="character" w:customStyle="1" w:styleId="normal105">
    <w:name w:val="normal105"/>
    <w:basedOn w:val="a0"/>
    <w:rsid w:val="00C52A3F"/>
  </w:style>
  <w:style w:type="paragraph" w:styleId="a6">
    <w:name w:val="Normal (Web)"/>
    <w:basedOn w:val="a"/>
    <w:uiPriority w:val="99"/>
    <w:semiHidden/>
    <w:unhideWhenUsed/>
    <w:rsid w:val="00C52A3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52A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52A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A3F"/>
    <w:rPr>
      <w:sz w:val="18"/>
      <w:szCs w:val="18"/>
    </w:rPr>
  </w:style>
  <w:style w:type="paragraph" w:styleId="a4">
    <w:name w:val="footer"/>
    <w:basedOn w:val="a"/>
    <w:link w:val="Char0"/>
    <w:uiPriority w:val="99"/>
    <w:unhideWhenUsed/>
    <w:rsid w:val="00C52A3F"/>
    <w:pPr>
      <w:tabs>
        <w:tab w:val="center" w:pos="4153"/>
        <w:tab w:val="right" w:pos="8306"/>
      </w:tabs>
      <w:snapToGrid w:val="0"/>
      <w:jc w:val="left"/>
    </w:pPr>
    <w:rPr>
      <w:sz w:val="18"/>
      <w:szCs w:val="18"/>
    </w:rPr>
  </w:style>
  <w:style w:type="character" w:customStyle="1" w:styleId="Char0">
    <w:name w:val="页脚 Char"/>
    <w:basedOn w:val="a0"/>
    <w:link w:val="a4"/>
    <w:uiPriority w:val="99"/>
    <w:rsid w:val="00C52A3F"/>
    <w:rPr>
      <w:sz w:val="18"/>
      <w:szCs w:val="18"/>
    </w:rPr>
  </w:style>
  <w:style w:type="character" w:customStyle="1" w:styleId="1Char">
    <w:name w:val="标题 1 Char"/>
    <w:basedOn w:val="a0"/>
    <w:link w:val="1"/>
    <w:uiPriority w:val="9"/>
    <w:rsid w:val="00C52A3F"/>
    <w:rPr>
      <w:rFonts w:ascii="宋体" w:eastAsia="宋体" w:hAnsi="宋体" w:cs="宋体"/>
      <w:b/>
      <w:bCs/>
      <w:kern w:val="36"/>
      <w:sz w:val="48"/>
      <w:szCs w:val="48"/>
    </w:rPr>
  </w:style>
  <w:style w:type="character" w:styleId="a5">
    <w:name w:val="Hyperlink"/>
    <w:basedOn w:val="a0"/>
    <w:uiPriority w:val="99"/>
    <w:semiHidden/>
    <w:unhideWhenUsed/>
    <w:rsid w:val="00C52A3F"/>
    <w:rPr>
      <w:color w:val="0000FF"/>
      <w:u w:val="single"/>
    </w:rPr>
  </w:style>
  <w:style w:type="character" w:customStyle="1" w:styleId="normal105">
    <w:name w:val="normal105"/>
    <w:basedOn w:val="a0"/>
    <w:rsid w:val="00C52A3F"/>
  </w:style>
  <w:style w:type="paragraph" w:styleId="a6">
    <w:name w:val="Normal (Web)"/>
    <w:basedOn w:val="a"/>
    <w:uiPriority w:val="99"/>
    <w:semiHidden/>
    <w:unhideWhenUsed/>
    <w:rsid w:val="00C52A3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52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16543">
      <w:bodyDiv w:val="1"/>
      <w:marLeft w:val="0"/>
      <w:marRight w:val="0"/>
      <w:marTop w:val="0"/>
      <w:marBottom w:val="0"/>
      <w:divBdr>
        <w:top w:val="none" w:sz="0" w:space="0" w:color="auto"/>
        <w:left w:val="none" w:sz="0" w:space="0" w:color="auto"/>
        <w:bottom w:val="none" w:sz="0" w:space="0" w:color="auto"/>
        <w:right w:val="none" w:sz="0" w:space="0" w:color="auto"/>
      </w:divBdr>
      <w:divsChild>
        <w:div w:id="137946958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2019-08-19T03:07:00Z</dcterms:created>
  <dcterms:modified xsi:type="dcterms:W3CDTF">2019-08-19T03:07:00Z</dcterms:modified>
</cp:coreProperties>
</file>