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 w:line="364" w:lineRule="auto"/>
        <w:ind w:left="4153" w:right="2372" w:hanging="1762"/>
        <w:jc w:val="center"/>
        <w:rPr>
          <w:rFonts w:ascii="黑体" w:eastAsia="黑体"/>
          <w:sz w:val="32"/>
        </w:rPr>
      </w:pPr>
    </w:p>
    <w:p>
      <w:pPr>
        <w:spacing w:before="43" w:line="364" w:lineRule="auto"/>
        <w:ind w:right="2372"/>
        <w:jc w:val="both"/>
        <w:rPr>
          <w:rFonts w:ascii="黑体" w:eastAsia="黑体"/>
          <w:sz w:val="44"/>
          <w:szCs w:val="32"/>
        </w:rPr>
      </w:pPr>
    </w:p>
    <w:p>
      <w:pPr>
        <w:spacing w:before="43" w:line="364" w:lineRule="auto"/>
        <w:ind w:right="2372"/>
        <w:jc w:val="center"/>
        <w:rPr>
          <w:rFonts w:ascii="黑体" w:eastAsia="黑体"/>
          <w:sz w:val="48"/>
          <w:szCs w:val="36"/>
        </w:rPr>
      </w:pPr>
      <w:r>
        <w:rPr>
          <w:rFonts w:hint="eastAsia" w:ascii="黑体" w:eastAsia="黑体"/>
          <w:sz w:val="48"/>
          <w:szCs w:val="36"/>
          <w:lang w:val="en-US"/>
        </w:rPr>
        <w:t xml:space="preserve">        </w:t>
      </w:r>
      <w:r>
        <w:rPr>
          <w:rFonts w:hint="eastAsia" w:ascii="黑体" w:eastAsia="黑体"/>
          <w:sz w:val="48"/>
          <w:szCs w:val="36"/>
        </w:rPr>
        <w:t>昆明动物研究所</w:t>
      </w:r>
    </w:p>
    <w:p>
      <w:pPr>
        <w:spacing w:before="43" w:line="364" w:lineRule="auto"/>
        <w:ind w:right="2372"/>
        <w:jc w:val="center"/>
        <w:rPr>
          <w:rFonts w:ascii="黑体" w:eastAsia="黑体"/>
          <w:sz w:val="48"/>
          <w:szCs w:val="36"/>
        </w:rPr>
      </w:pPr>
      <w:r>
        <w:rPr>
          <w:rFonts w:hint="eastAsia" w:ascii="黑体" w:eastAsia="黑体"/>
          <w:sz w:val="48"/>
          <w:szCs w:val="36"/>
          <w:lang w:val="en-US"/>
        </w:rPr>
        <w:t xml:space="preserve">        </w:t>
      </w:r>
      <w:r>
        <w:rPr>
          <w:rFonts w:hint="eastAsia" w:ascii="黑体" w:eastAsia="黑体"/>
          <w:sz w:val="48"/>
          <w:szCs w:val="36"/>
        </w:rPr>
        <w:t>博士生综合素质测评表</w:t>
      </w:r>
    </w:p>
    <w:p>
      <w:pPr>
        <w:spacing w:before="43" w:line="364" w:lineRule="auto"/>
        <w:ind w:left="4153" w:right="2372" w:hanging="1762"/>
        <w:jc w:val="center"/>
        <w:rPr>
          <w:rFonts w:ascii="黑体" w:eastAsia="黑体"/>
          <w:sz w:val="44"/>
          <w:szCs w:val="32"/>
        </w:rPr>
      </w:pPr>
    </w:p>
    <w:p>
      <w:pPr>
        <w:spacing w:before="43" w:line="364" w:lineRule="auto"/>
        <w:ind w:right="2372"/>
        <w:jc w:val="both"/>
        <w:rPr>
          <w:rFonts w:ascii="黑体" w:eastAsia="黑体"/>
          <w:sz w:val="44"/>
          <w:szCs w:val="32"/>
        </w:rPr>
      </w:pPr>
    </w:p>
    <w:p>
      <w:pPr>
        <w:spacing w:before="43" w:line="364" w:lineRule="auto"/>
        <w:ind w:right="2372"/>
        <w:jc w:val="both"/>
        <w:rPr>
          <w:rFonts w:ascii="黑体" w:eastAsia="黑体"/>
          <w:sz w:val="44"/>
          <w:szCs w:val="32"/>
        </w:rPr>
      </w:pPr>
    </w:p>
    <w:p>
      <w:pPr>
        <w:spacing w:before="43" w:line="364" w:lineRule="auto"/>
        <w:ind w:left="4153" w:right="2372" w:hanging="1762"/>
        <w:jc w:val="both"/>
        <w:rPr>
          <w:rFonts w:ascii="黑体" w:eastAsia="黑体"/>
          <w:sz w:val="44"/>
          <w:szCs w:val="32"/>
          <w:lang w:val="en-US"/>
        </w:rPr>
      </w:pPr>
      <w:r>
        <w:rPr>
          <w:rFonts w:hint="eastAsia" w:ascii="黑体" w:eastAsia="黑体"/>
          <w:sz w:val="44"/>
          <w:szCs w:val="32"/>
        </w:rPr>
        <w:t>姓</w:t>
      </w:r>
      <w:r>
        <w:rPr>
          <w:rFonts w:hint="eastAsia" w:ascii="黑体" w:eastAsia="黑体"/>
          <w:sz w:val="44"/>
          <w:szCs w:val="32"/>
          <w:lang w:val="en-US"/>
        </w:rPr>
        <w:t xml:space="preserve">  </w:t>
      </w:r>
      <w:r>
        <w:rPr>
          <w:rFonts w:hint="eastAsia" w:ascii="黑体" w:eastAsia="黑体"/>
          <w:sz w:val="44"/>
          <w:szCs w:val="32"/>
        </w:rPr>
        <w:t>名：</w:t>
      </w:r>
      <w:r>
        <w:rPr>
          <w:rFonts w:hint="eastAsia" w:ascii="黑体" w:eastAsia="黑体"/>
          <w:sz w:val="44"/>
          <w:szCs w:val="32"/>
          <w:lang w:val="en-US"/>
        </w:rPr>
        <w:t xml:space="preserve"> </w:t>
      </w:r>
    </w:p>
    <w:p>
      <w:pPr>
        <w:spacing w:before="43" w:line="364" w:lineRule="auto"/>
        <w:ind w:left="4153" w:right="2372" w:hanging="1762"/>
        <w:jc w:val="both"/>
        <w:rPr>
          <w:rFonts w:ascii="黑体" w:eastAsia="黑体"/>
          <w:sz w:val="44"/>
          <w:szCs w:val="32"/>
          <w:lang w:val="en-US"/>
        </w:rPr>
      </w:pPr>
      <w:r>
        <w:rPr>
          <w:rFonts w:hint="eastAsia" w:ascii="黑体" w:eastAsia="黑体"/>
          <w:sz w:val="44"/>
          <w:szCs w:val="32"/>
          <w:lang w:val="en-US"/>
        </w:rPr>
        <w:t>导  师：</w:t>
      </w:r>
    </w:p>
    <w:p>
      <w:pPr>
        <w:spacing w:before="43" w:line="364" w:lineRule="auto"/>
        <w:ind w:left="4153" w:right="2372" w:hanging="1762"/>
        <w:jc w:val="both"/>
        <w:rPr>
          <w:rFonts w:ascii="黑体" w:eastAsia="黑体"/>
          <w:sz w:val="44"/>
          <w:szCs w:val="32"/>
          <w:lang w:val="en-US"/>
        </w:rPr>
      </w:pPr>
      <w:r>
        <w:rPr>
          <w:rFonts w:hint="eastAsia" w:ascii="黑体" w:eastAsia="黑体"/>
          <w:sz w:val="44"/>
          <w:szCs w:val="32"/>
          <w:lang w:val="en-US"/>
        </w:rPr>
        <w:t>专  业：</w:t>
      </w:r>
    </w:p>
    <w:p>
      <w:pPr>
        <w:spacing w:before="43" w:line="364" w:lineRule="auto"/>
        <w:ind w:left="4153" w:right="2372" w:hanging="1762"/>
        <w:jc w:val="both"/>
        <w:rPr>
          <w:rFonts w:ascii="黑体" w:eastAsia="黑体"/>
          <w:sz w:val="44"/>
          <w:szCs w:val="32"/>
          <w:lang w:val="en-US"/>
        </w:rPr>
      </w:pPr>
      <w:r>
        <w:rPr>
          <w:rFonts w:hint="eastAsia" w:ascii="黑体" w:eastAsia="黑体"/>
          <w:sz w:val="44"/>
          <w:szCs w:val="32"/>
          <w:lang w:val="en-US"/>
        </w:rPr>
        <w:t>拟毕业时间：</w:t>
      </w:r>
    </w:p>
    <w:p>
      <w:pPr>
        <w:spacing w:before="43" w:line="364" w:lineRule="auto"/>
        <w:ind w:left="4153" w:right="2372" w:hanging="1762"/>
        <w:jc w:val="both"/>
        <w:rPr>
          <w:rFonts w:ascii="黑体" w:eastAsia="黑体"/>
          <w:sz w:val="44"/>
          <w:szCs w:val="32"/>
          <w:lang w:val="en-US"/>
        </w:rPr>
        <w:sectPr>
          <w:footerReference r:id="rId3" w:type="default"/>
          <w:type w:val="continuous"/>
          <w:pgSz w:w="11910" w:h="16840"/>
          <w:pgMar w:top="1180" w:right="1180" w:bottom="1100" w:left="1160" w:header="720" w:footer="913" w:gutter="0"/>
          <w:pgNumType w:start="1"/>
          <w:cols w:space="720" w:num="1"/>
        </w:sectPr>
      </w:pPr>
      <w:r>
        <w:rPr>
          <w:rFonts w:hint="eastAsia" w:ascii="黑体" w:eastAsia="黑体"/>
          <w:sz w:val="44"/>
          <w:szCs w:val="32"/>
          <w:lang w:val="en-US"/>
        </w:rPr>
        <w:t>申请奖项：</w:t>
      </w:r>
    </w:p>
    <w:p>
      <w:pPr>
        <w:spacing w:before="43" w:line="364" w:lineRule="auto"/>
        <w:ind w:left="4153" w:right="2372" w:hanging="1762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昆明动物研究所</w:t>
      </w:r>
    </w:p>
    <w:p>
      <w:pPr>
        <w:spacing w:before="43" w:line="364" w:lineRule="auto"/>
        <w:ind w:left="4153" w:right="2372" w:hanging="1762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博士生综合素质表填表说明</w:t>
      </w:r>
    </w:p>
    <w:p>
      <w:pPr>
        <w:pStyle w:val="4"/>
        <w:spacing w:before="8" w:line="360" w:lineRule="auto"/>
        <w:rPr>
          <w:rFonts w:ascii="黑体"/>
          <w:sz w:val="34"/>
        </w:rPr>
      </w:pPr>
    </w:p>
    <w:p>
      <w:pPr>
        <w:pStyle w:val="4"/>
        <w:snapToGrid w:val="0"/>
        <w:spacing w:before="0" w:line="360" w:lineRule="auto"/>
        <w:ind w:left="258" w:right="117" w:firstLine="480"/>
        <w:jc w:val="both"/>
      </w:pPr>
      <w:r>
        <w:t>1、</w:t>
      </w:r>
      <w:r>
        <w:rPr>
          <w:rFonts w:hint="eastAsia"/>
        </w:rPr>
        <w:t>发表的论文或在发表中的论文</w:t>
      </w:r>
      <w:r>
        <w:t>第一署名单位须为“</w:t>
      </w:r>
      <w:r>
        <w:rPr>
          <w:rFonts w:hint="eastAsia"/>
        </w:rPr>
        <w:t>中国科学院昆明动物研究所</w:t>
      </w:r>
      <w:r>
        <w:t>”</w:t>
      </w:r>
      <w:r>
        <w:rPr>
          <w:rFonts w:hint="eastAsia"/>
        </w:rPr>
        <w:t>，同时署名</w:t>
      </w:r>
      <w:r>
        <w:t>“</w:t>
      </w:r>
      <w:r>
        <w:rPr>
          <w:rFonts w:hint="eastAsia"/>
        </w:rPr>
        <w:t>中国科学院大学</w:t>
      </w:r>
      <w:r>
        <w:t>”</w:t>
      </w:r>
      <w:r>
        <w:rPr>
          <w:rFonts w:hint="eastAsia"/>
        </w:rPr>
        <w:t>。</w:t>
      </w:r>
    </w:p>
    <w:p>
      <w:pPr>
        <w:pStyle w:val="4"/>
        <w:snapToGrid w:val="0"/>
        <w:spacing w:line="360" w:lineRule="auto"/>
        <w:ind w:left="258" w:right="172" w:firstLine="480"/>
        <w:jc w:val="both"/>
      </w:pPr>
      <w:r>
        <w:t>2、科研能力分量表所填写内容等应与研究生所学专业相关。</w:t>
      </w:r>
    </w:p>
    <w:p>
      <w:pPr>
        <w:pStyle w:val="4"/>
        <w:snapToGrid w:val="0"/>
        <w:spacing w:before="1" w:line="360" w:lineRule="auto"/>
        <w:ind w:left="738"/>
        <w:jc w:val="both"/>
      </w:pPr>
      <w:r>
        <w:t>3、论文署名顺序按署名先后排序认定</w:t>
      </w:r>
      <w:r>
        <w:rPr>
          <w:spacing w:val="-9"/>
        </w:rPr>
        <w:t>若第一作者是导师，</w:t>
      </w:r>
      <w:r>
        <w:t>第二作者是该导师的研究</w:t>
      </w:r>
    </w:p>
    <w:p>
      <w:pPr>
        <w:pStyle w:val="4"/>
        <w:snapToGrid w:val="0"/>
        <w:spacing w:before="1" w:line="360" w:lineRule="auto"/>
        <w:ind w:left="0" w:firstLine="240" w:firstLineChars="100"/>
        <w:jc w:val="both"/>
      </w:pPr>
      <w:r>
        <w:t>生，视该研究生为第一作者，其他作者次序顺延。</w:t>
      </w:r>
    </w:p>
    <w:p>
      <w:pPr>
        <w:pStyle w:val="4"/>
        <w:snapToGrid w:val="0"/>
        <w:spacing w:before="1" w:line="360" w:lineRule="auto"/>
        <w:ind w:left="198" w:leftChars="90" w:firstLine="404" w:firstLineChars="200"/>
        <w:jc w:val="both"/>
      </w:pPr>
      <w:r>
        <w:rPr>
          <w:spacing w:val="-19"/>
        </w:rPr>
        <w:t xml:space="preserve">举例：一篇 </w:t>
      </w:r>
      <w:r>
        <w:t>SCI</w:t>
      </w:r>
      <w:r>
        <w:rPr>
          <w:spacing w:val="-15"/>
        </w:rPr>
        <w:t xml:space="preserve"> 收录论文，文章作者署名排序为张聪、王婷、李菲菲……，</w:t>
      </w:r>
      <w:r>
        <w:rPr>
          <w:spacing w:val="-5"/>
        </w:rPr>
        <w:t>如张聪是王婷的导师，王婷认定为第一作者，李菲菲认定为第二作者，其他顺延。</w:t>
      </w:r>
    </w:p>
    <w:p>
      <w:pPr>
        <w:pStyle w:val="4"/>
        <w:snapToGrid w:val="0"/>
        <w:spacing w:line="360" w:lineRule="auto"/>
        <w:ind w:left="258" w:right="236" w:firstLine="480"/>
        <w:jc w:val="both"/>
      </w:pPr>
      <w:r>
        <w:t>4、论文、论著、论文集、专利、科技奖励、学术交流、获奖等计分项目，均要求为</w:t>
      </w:r>
      <w:r>
        <w:rPr>
          <w:rFonts w:hint="eastAsia"/>
        </w:rPr>
        <w:t>已接收、</w:t>
      </w:r>
      <w:r>
        <w:t>刊登</w:t>
      </w:r>
      <w:r>
        <w:rPr>
          <w:rFonts w:hint="eastAsia"/>
        </w:rPr>
        <w:t>、授权或</w:t>
      </w:r>
      <w:r>
        <w:t>已获奖。</w:t>
      </w:r>
    </w:p>
    <w:p>
      <w:pPr>
        <w:pStyle w:val="4"/>
        <w:snapToGrid w:val="0"/>
        <w:spacing w:before="1" w:line="360" w:lineRule="auto"/>
        <w:ind w:left="258" w:right="236" w:firstLine="480"/>
        <w:jc w:val="both"/>
      </w:pPr>
      <w:r>
        <w:t>5、研究生综合评价表中的计分项目，应与《</w:t>
      </w:r>
      <w:r>
        <w:rPr>
          <w:rFonts w:hint="eastAsia"/>
        </w:rPr>
        <w:t>奖学金及优秀学生称号申请人情况汇总表</w:t>
      </w:r>
      <w:r>
        <w:t>》保持一致。</w:t>
      </w:r>
    </w:p>
    <w:p>
      <w:pPr>
        <w:pStyle w:val="4"/>
        <w:snapToGrid w:val="0"/>
        <w:spacing w:line="360" w:lineRule="auto"/>
        <w:ind w:left="258" w:right="117" w:firstLine="480"/>
        <w:jc w:val="both"/>
      </w:pPr>
      <w:r>
        <w:t>6、国家奖学金申报人须根据个人情况，按照综合评价表填表说明，实事求是计算</w:t>
      </w:r>
      <w:r>
        <w:rPr>
          <w:spacing w:val="-10"/>
        </w:rPr>
        <w:t>出自己各项得分和综合评价表总分。如未按要求评分或分数计算错误的，或弄虚作假的，</w:t>
      </w:r>
      <w:r>
        <w:t>将影响奖学金的评定，责任自负。</w:t>
      </w:r>
    </w:p>
    <w:p>
      <w:pPr>
        <w:pStyle w:val="4"/>
        <w:snapToGrid w:val="0"/>
        <w:spacing w:line="360" w:lineRule="auto"/>
        <w:ind w:left="258" w:right="117" w:firstLine="480"/>
        <w:jc w:val="both"/>
      </w:pPr>
      <w:r>
        <w:t>7、研究生综合评价表分为科研能力分量表和获奖情况分量表两部分，同一成果不能重复计算。</w:t>
      </w:r>
    </w:p>
    <w:p>
      <w:pPr>
        <w:pStyle w:val="4"/>
        <w:snapToGrid w:val="0"/>
        <w:spacing w:before="1" w:line="360" w:lineRule="auto"/>
        <w:ind w:left="258" w:right="236" w:firstLine="480"/>
        <w:jc w:val="both"/>
      </w:pPr>
      <w:r>
        <w:t>8、“表</w:t>
      </w:r>
      <w:r>
        <w:rPr>
          <w:rFonts w:hint="eastAsia"/>
        </w:rPr>
        <w:t>一</w:t>
      </w:r>
      <w:r>
        <w:t>”、“表</w:t>
      </w:r>
      <w:r>
        <w:rPr>
          <w:rFonts w:hint="eastAsia"/>
        </w:rPr>
        <w:t>二</w:t>
      </w:r>
      <w:r>
        <w:t>”</w:t>
      </w:r>
      <w:r>
        <w:rPr>
          <w:rFonts w:hint="eastAsia"/>
        </w:rPr>
        <w:t>由学生完成，</w:t>
      </w:r>
      <w:r>
        <w:t>填写完整</w:t>
      </w:r>
      <w:r>
        <w:rPr>
          <w:rFonts w:hint="eastAsia"/>
        </w:rPr>
        <w:t>双面打印</w:t>
      </w:r>
      <w:r>
        <w:t>后</w:t>
      </w:r>
      <w:r>
        <w:rPr>
          <w:rFonts w:hint="eastAsia"/>
        </w:rPr>
        <w:t>交至研究生处，由研究生处完成“表三”、“表四”</w:t>
      </w:r>
      <w:r>
        <w:t>。</w:t>
      </w:r>
      <w:bookmarkStart w:id="0" w:name="_GoBack"/>
      <w:bookmarkEnd w:id="0"/>
    </w:p>
    <w:p>
      <w:pPr>
        <w:pStyle w:val="4"/>
        <w:snapToGrid w:val="0"/>
        <w:spacing w:line="360" w:lineRule="auto"/>
        <w:ind w:left="738"/>
        <w:jc w:val="both"/>
        <w:rPr>
          <w:lang w:val="en-US"/>
        </w:rPr>
      </w:pPr>
      <w:r>
        <w:t>9、</w:t>
      </w:r>
      <w:r>
        <w:rPr>
          <w:rFonts w:hint="eastAsia"/>
        </w:rPr>
        <w:t>本表总分值</w:t>
      </w:r>
      <w:r>
        <w:rPr>
          <w:rFonts w:hint="eastAsia"/>
          <w:lang w:val="en-US"/>
        </w:rPr>
        <w:t>100分，在奖学金及优秀称号评选中占比70%，现场汇报占比30%。</w:t>
      </w:r>
    </w:p>
    <w:p>
      <w:pPr>
        <w:pStyle w:val="4"/>
        <w:snapToGrid w:val="0"/>
        <w:spacing w:line="360" w:lineRule="auto"/>
        <w:ind w:left="738"/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10、本表适用于昆明动物研究所在学博士生院长奖学金、地奥奖学金、瑞沃德明德</w:t>
      </w:r>
    </w:p>
    <w:p>
      <w:pPr>
        <w:pStyle w:val="4"/>
        <w:snapToGrid w:val="0"/>
        <w:spacing w:line="360" w:lineRule="auto"/>
        <w:ind w:left="0" w:firstLine="240" w:firstLineChars="100"/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奖学金、喀斯玛助力科研奖学金、三好学生、三好学生标兵、优秀毕业生以及国家奖学</w:t>
      </w:r>
    </w:p>
    <w:p>
      <w:pPr>
        <w:pStyle w:val="4"/>
        <w:snapToGrid w:val="0"/>
        <w:spacing w:line="360" w:lineRule="auto"/>
        <w:ind w:left="0" w:firstLine="240" w:firstLineChars="100"/>
        <w:jc w:val="both"/>
        <w:rPr>
          <w:lang w:val="en-US"/>
        </w:rPr>
      </w:pPr>
      <w:r>
        <w:rPr>
          <w:rFonts w:hint="eastAsia"/>
          <w:lang w:val="en-US"/>
        </w:rPr>
        <w:t>金评选。</w:t>
      </w:r>
    </w:p>
    <w:p>
      <w:pPr>
        <w:pStyle w:val="4"/>
        <w:snapToGrid w:val="0"/>
        <w:spacing w:before="160" w:line="360" w:lineRule="auto"/>
        <w:ind w:left="738"/>
        <w:jc w:val="both"/>
        <w:sectPr>
          <w:pgSz w:w="11910" w:h="16840"/>
          <w:pgMar w:top="1180" w:right="1180" w:bottom="1100" w:left="1160" w:header="720" w:footer="913" w:gutter="0"/>
          <w:pgNumType w:start="1"/>
          <w:cols w:space="720" w:num="1"/>
        </w:sectPr>
      </w:pPr>
      <w:r>
        <w:t>1</w:t>
      </w:r>
      <w:r>
        <w:rPr>
          <w:rFonts w:hint="eastAsia"/>
          <w:lang w:val="en-US"/>
        </w:rPr>
        <w:t>1</w:t>
      </w:r>
      <w:r>
        <w:t>、本评价表由研究生</w:t>
      </w:r>
      <w:r>
        <w:rPr>
          <w:rFonts w:hint="eastAsia"/>
        </w:rPr>
        <w:t>处</w:t>
      </w:r>
      <w:r>
        <w:t>负责</w:t>
      </w:r>
      <w:r>
        <w:rPr>
          <w:rFonts w:hint="eastAsia"/>
        </w:rPr>
        <w:t>解释。</w:t>
      </w:r>
    </w:p>
    <w:p>
      <w:pPr>
        <w:pStyle w:val="2"/>
        <w:spacing w:before="1"/>
        <w:ind w:left="0"/>
      </w:pPr>
      <w:r>
        <w:t>表</w:t>
      </w:r>
      <w:r>
        <w:rPr>
          <w:rFonts w:hint="eastAsia"/>
        </w:rPr>
        <w:t>一</w:t>
      </w:r>
      <w:r>
        <w:t>：科研能力分量表</w:t>
      </w:r>
      <w:r>
        <w:rPr>
          <w:rFonts w:hint="eastAsia"/>
          <w:lang w:eastAsia="zh-CN"/>
        </w:rPr>
        <w:t>（满分</w:t>
      </w:r>
      <w:r>
        <w:rPr>
          <w:rFonts w:hint="eastAsia"/>
          <w:lang w:val="en-US" w:eastAsia="zh-CN"/>
        </w:rPr>
        <w:t>60分</w:t>
      </w:r>
      <w:r>
        <w:rPr>
          <w:rFonts w:hint="eastAsia"/>
          <w:lang w:eastAsia="zh-CN"/>
        </w:rPr>
        <w:t>）</w:t>
      </w:r>
    </w:p>
    <w:p>
      <w:pPr>
        <w:pStyle w:val="4"/>
        <w:spacing w:before="3"/>
        <w:rPr>
          <w:rFonts w:ascii="黑体"/>
          <w:sz w:val="10"/>
        </w:rPr>
      </w:pPr>
    </w:p>
    <w:tbl>
      <w:tblPr>
        <w:tblStyle w:val="8"/>
        <w:tblW w:w="8366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95"/>
        <w:gridCol w:w="876"/>
        <w:gridCol w:w="4974"/>
        <w:tblGridChange w:id="0">
          <w:tblGrid>
            <w:gridCol w:w="821"/>
            <w:gridCol w:w="1695"/>
            <w:gridCol w:w="876"/>
            <w:gridCol w:w="497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2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科研能力分量表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before="1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项目类别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before="90" w:line="278" w:lineRule="auto"/>
              <w:ind w:left="214" w:right="199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单项得分</w:t>
            </w:r>
          </w:p>
        </w:tc>
        <w:tc>
          <w:tcPr>
            <w:tcW w:w="4974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before="1"/>
              <w:ind w:right="1824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lang w:val="en-US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b/>
              </w:rPr>
              <w:t>计分说明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textDirection w:val="tbRl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ind w:left="97" w:right="8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发表的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  <w:t>SCI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/EI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  <w:t>论文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974" w:type="dxa"/>
            <w:tcBorders>
              <w:tl2br w:val="nil"/>
              <w:tr2bl w:val="nil"/>
            </w:tcBorders>
          </w:tcPr>
          <w:p>
            <w:pPr>
              <w:tabs>
                <w:tab w:val="left" w:pos="832"/>
              </w:tabs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）SCI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 xml:space="preserve"> 论文已有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DOI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 xml:space="preserve"> 号，提供正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式检索证明；</w:t>
            </w:r>
          </w:p>
          <w:p>
            <w:pPr>
              <w:tabs>
                <w:tab w:val="left" w:pos="832"/>
              </w:tabs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  <w:lang w:val="en-US"/>
              </w:rPr>
              <w:t>2</w:t>
            </w: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 xml:space="preserve">）只有接收函未有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DOI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 xml:space="preserve"> 号视为无效论文；</w:t>
            </w:r>
          </w:p>
          <w:p>
            <w:pPr>
              <w:pStyle w:val="14"/>
              <w:tabs>
                <w:tab w:val="left" w:pos="843"/>
              </w:tabs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（3）第一作者：IF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≥9计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6≤IF＜9计10分；3≤IF＜6计5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分；其他计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宏观生物学&lt;动物分类、动物区系、动物地理、动物生态、动物保护生物学等&gt;文章以最近1年的影响因子×1.5的系数计算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）；共同第一作者文章按影响因子计算得分后，共一第二位</w:t>
            </w:r>
            <w:r>
              <w:rPr>
                <w:rFonts w:ascii="黑体" w:hAnsi="黑体" w:eastAsia="黑体" w:cs="黑体"/>
                <w:sz w:val="21"/>
                <w:szCs w:val="21"/>
              </w:rPr>
              <w:t>*0.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>计算得分，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共一</w:t>
            </w:r>
            <w:r>
              <w:rPr>
                <w:rFonts w:ascii="黑体" w:hAnsi="黑体" w:eastAsia="黑体" w:cs="黑体"/>
                <w:sz w:val="21"/>
                <w:szCs w:val="21"/>
              </w:rPr>
              <w:t>第三位*0.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>计算得分，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共一第四位及以后排名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*0.4计算得分。</w:t>
            </w:r>
          </w:p>
          <w:p>
            <w:pPr>
              <w:tabs>
                <w:tab w:val="left" w:pos="832"/>
              </w:tabs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（4）非第一作者的文章按以下折算方式计分：IF≥3，按2分/篇计算；IF＜3，不计入得分。</w:t>
            </w:r>
          </w:p>
          <w:p>
            <w:pPr>
              <w:tabs>
                <w:tab w:val="left" w:pos="832"/>
              </w:tabs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（5）中文核心期刊：第一作者：2分；</w:t>
            </w:r>
          </w:p>
          <w:p>
            <w:pPr>
              <w:tabs>
                <w:tab w:val="left" w:pos="832"/>
              </w:tabs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）计分文章未申请过同类奖项；</w:t>
            </w:r>
          </w:p>
          <w:p>
            <w:pPr>
              <w:tabs>
                <w:tab w:val="left" w:pos="832"/>
              </w:tabs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）达到要求的文章均可累计相应积分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，累计不超过40分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textDirection w:val="tbRl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学术交流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974" w:type="dxa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）此类别需要提供本人作报告的证明材料； 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）计分方式：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国际性学术交流报告：10分/次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国际性学术交流海报：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8分/次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国内学术交流报告：6分/次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国内学术交流海报：3分/次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所内学术论坛、学术沙龙：1分/次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会议征文获奖：5分/篇（同一篇文章不重复计分）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</w:t>
            </w:r>
          </w:p>
          <w:p>
            <w:pPr>
              <w:rPr>
                <w:rFonts w:ascii="黑体" w:hAnsi="黑体" w:eastAsia="黑体" w:cs="黑体"/>
                <w:spacing w:val="-27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）此类别可累计加分，累计不超过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分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" w:author="VANILLAHWANG" w:date="2021-03-30T15:17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149" w:hRule="atLeast"/>
          <w:trPrChange w:id="1" w:author="VANILLAHWANG" w:date="2021-03-30T15:17:22Z">
            <w:trPr>
              <w:trHeight w:val="1309" w:hRule="atLeast"/>
            </w:trPr>
          </w:trPrChange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textDirection w:val="tbRl"/>
            <w:tcPrChange w:id="2" w:author="VANILLAHWANG" w:date="2021-03-30T15:17:22Z">
              <w:tcPr>
                <w:tcW w:w="821" w:type="dxa"/>
                <w:vMerge w:val="continue"/>
                <w:tcBorders>
                  <w:tl2br w:val="nil"/>
                  <w:tr2bl w:val="nil"/>
                </w:tcBorders>
                <w:textDirection w:val="tbRl"/>
              </w:tcPr>
            </w:tcPrChange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  <w:tcPrChange w:id="3" w:author="VANILLAHWANG" w:date="2021-03-30T15:17:22Z">
              <w:tcPr>
                <w:tcW w:w="1695" w:type="dxa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pStyle w:val="14"/>
              <w:spacing w:before="43"/>
              <w:ind w:left="97" w:right="86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专利、著作等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  <w:tcPrChange w:id="4" w:author="VANILLAHWANG" w:date="2021-03-30T15:17:22Z">
              <w:tcPr>
                <w:tcW w:w="876" w:type="dxa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pStyle w:val="1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974" w:type="dxa"/>
            <w:tcBorders>
              <w:tl2br w:val="nil"/>
              <w:tr2bl w:val="nil"/>
            </w:tcBorders>
            <w:tcPrChange w:id="5" w:author="VANILLAHWANG" w:date="2021-03-30T15:17:22Z">
              <w:tcPr>
                <w:tcW w:w="4974" w:type="dxa"/>
                <w:tcBorders>
                  <w:tl2br w:val="nil"/>
                  <w:tr2bl w:val="nil"/>
                </w:tcBorders>
              </w:tcPr>
            </w:tcPrChange>
          </w:tcPr>
          <w:p>
            <w:pPr>
              <w:pStyle w:val="14"/>
              <w:numPr>
                <w:ilvl w:val="0"/>
                <w:numId w:val="1"/>
              </w:numPr>
              <w:ind w:left="630" w:right="93" w:hanging="630" w:hangingChars="3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著作、论著等：需要正式出版。                             </w:t>
            </w:r>
          </w:p>
          <w:p>
            <w:pPr>
              <w:pStyle w:val="14"/>
              <w:ind w:right="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主编：10分；副主编或编委：8分；章、节作者：5分</w:t>
            </w:r>
          </w:p>
          <w:p>
            <w:pPr>
              <w:pStyle w:val="14"/>
              <w:numPr>
                <w:ilvl w:val="0"/>
                <w:numId w:val="1"/>
              </w:numPr>
              <w:ind w:left="630" w:leftChars="0" w:right="93" w:hanging="630" w:hangingChars="3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授权专利：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分，需提供授权证书复印件。</w:t>
            </w:r>
          </w:p>
          <w:p>
            <w:pPr>
              <w:pStyle w:val="14"/>
              <w:ind w:right="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）此类别可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累计加分，累计不超过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textDirection w:val="tbRl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额外加分项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974" w:type="dxa"/>
            <w:tcBorders>
              <w:tl2br w:val="nil"/>
              <w:tr2bl w:val="nil"/>
            </w:tcBorders>
          </w:tcPr>
          <w:p>
            <w:pPr>
              <w:pStyle w:val="14"/>
              <w:numPr>
                <w:ilvl w:val="-1"/>
                <w:numId w:val="0"/>
              </w:numPr>
              <w:ind w:left="0" w:leftChars="0" w:right="93" w:firstLine="211" w:firstLineChars="1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科技奖励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：                                        </w:t>
            </w:r>
          </w:p>
          <w:p>
            <w:pPr>
              <w:pStyle w:val="14"/>
              <w:ind w:left="440" w:leftChars="200" w:right="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国家级</w:t>
            </w:r>
            <w:r>
              <w:rPr>
                <w:rFonts w:ascii="黑体" w:hAnsi="黑体" w:eastAsia="黑体" w:cs="黑体"/>
                <w:sz w:val="21"/>
                <w:szCs w:val="21"/>
              </w:rPr>
              <w:t>一等奖：30分；                              国家级二等奖/省部级一等奖：20分；                                                          国家级三等奖/省部级二等奖：15分</w:t>
            </w:r>
          </w:p>
          <w:p>
            <w:pPr>
              <w:pStyle w:val="14"/>
              <w:ind w:right="93"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省部级三等奖：</w:t>
            </w:r>
            <w:r>
              <w:rPr>
                <w:rFonts w:ascii="黑体" w:hAnsi="黑体" w:eastAsia="黑体" w:cs="黑体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textDirection w:val="tbRl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合计得分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4974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spacing w:line="278" w:lineRule="auto"/>
              <w:ind w:right="9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证明材料（请打印本页，并将材料附后）</w:t>
            </w:r>
          </w:p>
          <w:p>
            <w:pPr>
              <w:pStyle w:val="14"/>
              <w:spacing w:line="278" w:lineRule="auto"/>
              <w:ind w:right="93"/>
              <w:jc w:val="center"/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/>
              </w:rPr>
              <w:t>*证明材料请按加分项目顺序排列，并在证明材料的右上角标注加分项目及相应分值。</w:t>
            </w:r>
          </w:p>
        </w:tc>
      </w:tr>
    </w:tbl>
    <w:p>
      <w:pPr>
        <w:spacing w:line="321" w:lineRule="auto"/>
        <w:rPr>
          <w:sz w:val="21"/>
        </w:rPr>
        <w:sectPr>
          <w:footerReference r:id="rId4" w:type="default"/>
          <w:pgSz w:w="11910" w:h="16840"/>
          <w:pgMar w:top="1160" w:right="1180" w:bottom="1180" w:left="1160" w:header="0" w:footer="913" w:gutter="0"/>
          <w:cols w:space="720" w:num="1"/>
        </w:sectPr>
      </w:pPr>
    </w:p>
    <w:p>
      <w:pPr>
        <w:spacing w:before="128"/>
        <w:ind w:left="258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表二：综合素质分量表（满分</w:t>
      </w:r>
      <w:r>
        <w:rPr>
          <w:rFonts w:hint="eastAsia" w:ascii="黑体" w:eastAsia="黑体"/>
          <w:sz w:val="28"/>
          <w:lang w:val="en-US" w:eastAsia="zh-CN"/>
        </w:rPr>
        <w:t>30</w:t>
      </w:r>
      <w:r>
        <w:rPr>
          <w:rFonts w:hint="eastAsia" w:ascii="黑体" w:eastAsia="黑体"/>
          <w:sz w:val="28"/>
          <w:lang w:val="en-US"/>
        </w:rPr>
        <w:t>分</w:t>
      </w:r>
      <w:r>
        <w:rPr>
          <w:rFonts w:hint="eastAsia" w:ascii="黑体" w:eastAsia="黑体"/>
          <w:sz w:val="28"/>
        </w:rPr>
        <w:t>）</w:t>
      </w:r>
    </w:p>
    <w:p>
      <w:pPr>
        <w:pStyle w:val="4"/>
        <w:spacing w:before="5"/>
        <w:rPr>
          <w:rFonts w:ascii="黑体"/>
          <w:sz w:val="10"/>
        </w:rPr>
      </w:pPr>
    </w:p>
    <w:tbl>
      <w:tblPr>
        <w:tblStyle w:val="8"/>
        <w:tblW w:w="9420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804"/>
        <w:gridCol w:w="1035"/>
        <w:gridCol w:w="960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>
            <w:pPr>
              <w:ind w:right="113"/>
              <w:jc w:val="both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>
            <w:pPr>
              <w:ind w:left="113" w:right="113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综合素质分量表</w:t>
            </w:r>
          </w:p>
          <w:p>
            <w:pPr>
              <w:ind w:left="113" w:right="113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  <w:t>总分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单项</w:t>
            </w:r>
          </w:p>
          <w:p>
            <w:pPr>
              <w:pStyle w:val="14"/>
              <w:spacing w:before="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计分说明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51" w:type="dxa"/>
            <w:vMerge w:val="continue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优秀学生称号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（1）院长特别奖 10分；院长优秀奖 8分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 xml:space="preserve">（2）国家奖学金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（3）三好学生标兵 6分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（4）各类奖学金 5分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（5）优秀学生干部 5分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（6）优秀学生 3分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（7）实验室年度优秀学生 2分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（8）其他奖项 1分 （需提供证明材料）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（9）获奖时间应在同一学位培养阶段内。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（10）此项目选择最高加分项给分，不重复加分，最高分10分。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851" w:type="dxa"/>
            <w:vMerge w:val="continue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ascii="黑体" w:hAnsi="黑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担任研究生会或国重、院重相关职务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（1）研究生会主席 10分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（2）研究生会部长及副部长 8分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（3）心理委员 6分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（4）研究生会干事 6分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（5）宿舍楼层长、安全员 6分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（6）国重及院重论坛委员会成员 6分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（7）担任职务的时间应在同一学位培养阶段内。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（8）该类别选择最高加分项给分，不重复加分，最高分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vMerge w:val="continue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参加研究生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处</w:t>
            </w: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活动、讲座、宿舍检查或安全检查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）积极参加研究生处、国重、院重组织的讲座，不论类型，一次计2分；参加心理健康系列讲座，一次记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4分；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）积极配合宿舍或安全检查且无违规情况的宿舍，该宿舍学生均计5分；不配合检查（无检查记录）或存在违规违纪情况，宿舍所有学生不计分；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）参加一次团委、研究生会活动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/青年志愿者或社会实践活动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2分/次；</w:t>
            </w:r>
          </w:p>
          <w:p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）累计时间：申报奖项截止日期前1年内；</w:t>
            </w:r>
          </w:p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（5）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该类别可累计加分，最高分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10分，加满为止。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51" w:type="dxa"/>
            <w:vMerge w:val="continue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>
            <w:pPr>
              <w:pStyle w:val="14"/>
              <w:spacing w:before="43"/>
              <w:ind w:left="97" w:right="86"/>
              <w:jc w:val="center"/>
              <w:rPr>
                <w:rFonts w:ascii="黑体" w:hAnsi="黑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/>
              </w:rPr>
              <w:t>合计得分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30</w:t>
            </w:r>
          </w:p>
        </w:tc>
        <w:tc>
          <w:tcPr>
            <w:tcW w:w="960" w:type="dxa"/>
            <w:shd w:val="clear" w:color="auto" w:fill="FFFFFF" w:themeFill="background1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>
            <w:pPr>
              <w:pStyle w:val="14"/>
              <w:spacing w:line="278" w:lineRule="auto"/>
              <w:ind w:right="9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证明材料（请打印本页，并将材料附后）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/>
              </w:rPr>
              <w:t>*证明材料请按加分项目顺序排列，并在证明材料的右上角标注加分项目及相应分值。</w:t>
            </w:r>
          </w:p>
        </w:tc>
      </w:tr>
    </w:tbl>
    <w:p/>
    <w:p/>
    <w:p/>
    <w:p/>
    <w:p/>
    <w:p/>
    <w:p/>
    <w:p/>
    <w:p/>
    <w:p/>
    <w:p/>
    <w:p/>
    <w:p/>
    <w:p>
      <w:pPr>
        <w:spacing w:before="128"/>
        <w:ind w:left="258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表三：综合评价分量表（</w:t>
      </w:r>
      <w:r>
        <w:rPr>
          <w:rFonts w:hint="eastAsia" w:ascii="黑体" w:eastAsia="黑体"/>
          <w:sz w:val="28"/>
          <w:lang w:val="en-US" w:eastAsia="zh-CN"/>
        </w:rPr>
        <w:t>10</w:t>
      </w:r>
      <w:r>
        <w:rPr>
          <w:rFonts w:hint="eastAsia" w:ascii="黑体" w:eastAsia="黑体"/>
          <w:sz w:val="28"/>
          <w:lang w:val="en-US"/>
        </w:rPr>
        <w:t>分</w:t>
      </w:r>
      <w:r>
        <w:rPr>
          <w:rFonts w:hint="eastAsia" w:ascii="黑体" w:eastAsia="黑体"/>
          <w:sz w:val="28"/>
        </w:rPr>
        <w:t>）</w:t>
      </w:r>
    </w:p>
    <w:p>
      <w:pPr>
        <w:rPr>
          <w:lang w:val="en-US"/>
        </w:rPr>
      </w:pPr>
    </w:p>
    <w:tbl>
      <w:tblPr>
        <w:tblStyle w:val="9"/>
        <w:tblW w:w="9499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75"/>
        <w:gridCol w:w="990"/>
        <w:gridCol w:w="2032"/>
        <w:gridCol w:w="203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37" w:type="dxa"/>
            <w:vMerge w:val="restart"/>
          </w:tcPr>
          <w:p>
            <w:pPr>
              <w:spacing w:before="128"/>
              <w:jc w:val="both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综合评价分量表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1"/>
                <w:lang w:eastAsia="zh-CN"/>
              </w:rPr>
              <w:t>实验室</w:t>
            </w:r>
            <w:r>
              <w:rPr>
                <w:rFonts w:hint="eastAsia" w:ascii="黑体" w:eastAsia="黑体"/>
                <w:b/>
                <w:bCs/>
                <w:sz w:val="24"/>
                <w:szCs w:val="21"/>
              </w:rPr>
              <w:t>评价</w:t>
            </w:r>
          </w:p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sz w:val="28"/>
                <w:lang w:val="en-US"/>
              </w:rPr>
            </w:pPr>
            <w:r>
              <w:rPr>
                <w:rFonts w:hint="eastAsia" w:ascii="黑体" w:eastAsia="黑体"/>
                <w:sz w:val="28"/>
                <w:lang w:val="en-US"/>
              </w:rPr>
              <w:t>总分</w:t>
            </w:r>
          </w:p>
        </w:tc>
        <w:tc>
          <w:tcPr>
            <w:tcW w:w="2032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sz w:val="28"/>
                <w:lang w:val="en-US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导师</w:t>
            </w:r>
            <w:r>
              <w:rPr>
                <w:rFonts w:hint="eastAsia" w:ascii="黑体" w:eastAsia="黑体"/>
                <w:sz w:val="28"/>
                <w:lang w:val="en-US"/>
              </w:rPr>
              <w:t>（f1）</w:t>
            </w:r>
          </w:p>
        </w:tc>
        <w:tc>
          <w:tcPr>
            <w:tcW w:w="2032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sz w:val="28"/>
                <w:lang w:val="en-US"/>
              </w:rPr>
            </w:pPr>
            <w:r>
              <w:rPr>
                <w:rFonts w:hint="eastAsia" w:ascii="黑体" w:eastAsia="黑体"/>
                <w:sz w:val="28"/>
              </w:rPr>
              <w:t>同学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1</w:t>
            </w:r>
            <w:r>
              <w:rPr>
                <w:rFonts w:hint="eastAsia" w:ascii="黑体" w:eastAsia="黑体"/>
                <w:sz w:val="28"/>
                <w:lang w:val="en-US"/>
              </w:rPr>
              <w:t>（f2）</w:t>
            </w:r>
          </w:p>
        </w:tc>
        <w:tc>
          <w:tcPr>
            <w:tcW w:w="2032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sz w:val="28"/>
                <w:lang w:val="en-US"/>
              </w:rPr>
            </w:pPr>
            <w:r>
              <w:rPr>
                <w:rFonts w:hint="eastAsia" w:ascii="黑体" w:eastAsia="黑体"/>
                <w:sz w:val="28"/>
              </w:rPr>
              <w:t>同学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8"/>
                <w:lang w:val="en-US"/>
              </w:rPr>
              <w:t>（f3）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37" w:type="dxa"/>
            <w:vMerge w:val="continue"/>
          </w:tcPr>
          <w:p>
            <w:pPr>
              <w:spacing w:before="128"/>
              <w:jc w:val="center"/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spacing w:before="128"/>
              <w:jc w:val="both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</w:tc>
        <w:tc>
          <w:tcPr>
            <w:tcW w:w="2032" w:type="dxa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continue"/>
          </w:tcPr>
          <w:p>
            <w:pPr>
              <w:spacing w:before="128"/>
              <w:jc w:val="both"/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1"/>
              </w:rPr>
              <w:t>合计得分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before="128"/>
              <w:jc w:val="righ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  <w:lang w:val="en-US"/>
              </w:rPr>
              <w:t>T=（f1+f2+f3）/3</w:t>
            </w:r>
          </w:p>
        </w:tc>
      </w:tr>
    </w:tbl>
    <w:p>
      <w:pPr>
        <w:rPr>
          <w:lang w:val="en-US"/>
        </w:rPr>
      </w:pPr>
      <w:r>
        <w:rPr>
          <w:rFonts w:hint="eastAsia"/>
          <w:lang w:val="en-US"/>
        </w:rPr>
        <w:t>*同学评价量表由研究生处</w:t>
      </w:r>
      <w:r>
        <w:rPr>
          <w:rFonts w:hint="eastAsia"/>
          <w:lang w:val="en-US" w:eastAsia="zh-CN"/>
        </w:rPr>
        <w:t>直接请申请人导师并</w:t>
      </w:r>
      <w:r>
        <w:rPr>
          <w:rFonts w:hint="eastAsia"/>
          <w:lang w:val="en-US"/>
        </w:rPr>
        <w:t>随机在申请人的实验室寻找</w:t>
      </w:r>
      <w:r>
        <w:rPr>
          <w:rFonts w:hint="eastAsia"/>
          <w:lang w:val="en-US" w:eastAsia="zh-CN"/>
        </w:rPr>
        <w:t>两</w:t>
      </w:r>
      <w:r>
        <w:rPr>
          <w:rFonts w:hint="eastAsia"/>
          <w:lang w:val="en-US"/>
        </w:rPr>
        <w:t>名同学对申请人进行打分。</w:t>
      </w:r>
    </w:p>
    <w:p/>
    <w:p>
      <w:pPr>
        <w:spacing w:before="128"/>
        <w:ind w:left="258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四：总量表（</w:t>
      </w:r>
      <w:r>
        <w:rPr>
          <w:rFonts w:hint="eastAsia" w:ascii="黑体" w:eastAsia="黑体"/>
          <w:sz w:val="28"/>
          <w:lang w:val="en-US"/>
        </w:rPr>
        <w:t>100分</w:t>
      </w:r>
      <w:r>
        <w:rPr>
          <w:rFonts w:hint="eastAsia" w:ascii="黑体" w:eastAsia="黑体"/>
          <w:sz w:val="28"/>
        </w:rPr>
        <w:t>）</w:t>
      </w:r>
    </w:p>
    <w:tbl>
      <w:tblPr>
        <w:tblStyle w:val="9"/>
        <w:tblW w:w="9540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60"/>
        <w:gridCol w:w="1605"/>
        <w:gridCol w:w="162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extDirection w:val="tbRlV"/>
            <w:vAlign w:val="center"/>
          </w:tcPr>
          <w:p>
            <w:pPr>
              <w:spacing w:before="128"/>
              <w:ind w:left="113" w:right="113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总量表</w:t>
            </w:r>
          </w:p>
        </w:tc>
        <w:tc>
          <w:tcPr>
            <w:tcW w:w="1560" w:type="dxa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表一</w:t>
            </w:r>
          </w:p>
        </w:tc>
        <w:tc>
          <w:tcPr>
            <w:tcW w:w="1605" w:type="dxa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表二</w:t>
            </w:r>
          </w:p>
        </w:tc>
        <w:tc>
          <w:tcPr>
            <w:tcW w:w="1620" w:type="dxa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表三</w:t>
            </w:r>
          </w:p>
        </w:tc>
        <w:tc>
          <w:tcPr>
            <w:tcW w:w="3900" w:type="dxa"/>
            <w:vAlign w:val="center"/>
          </w:tcPr>
          <w:p>
            <w:pPr>
              <w:pStyle w:val="14"/>
              <w:spacing w:before="2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5" w:type="dxa"/>
            <w:vMerge w:val="continue"/>
            <w:textDirection w:val="tbRlV"/>
            <w:vAlign w:val="center"/>
          </w:tcPr>
          <w:p>
            <w:pPr>
              <w:spacing w:before="128"/>
              <w:ind w:left="113" w:right="113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b/>
                <w:bCs/>
                <w:sz w:val="24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before="128"/>
              <w:jc w:val="center"/>
              <w:rPr>
                <w:rFonts w:ascii="黑体" w:eastAsia="黑体"/>
                <w:sz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before="128"/>
              <w:jc w:val="both"/>
              <w:rPr>
                <w:rFonts w:ascii="黑体" w:eastAsia="黑体"/>
                <w:sz w:val="28"/>
              </w:rPr>
            </w:pPr>
          </w:p>
        </w:tc>
        <w:tc>
          <w:tcPr>
            <w:tcW w:w="3900" w:type="dxa"/>
          </w:tcPr>
          <w:p>
            <w:pPr>
              <w:spacing w:before="128"/>
              <w:jc w:val="both"/>
              <w:rPr>
                <w:rFonts w:ascii="黑体" w:eastAsia="黑体"/>
                <w:sz w:val="28"/>
              </w:rPr>
            </w:pPr>
          </w:p>
          <w:p>
            <w:pPr>
              <w:spacing w:before="128"/>
              <w:jc w:val="both"/>
              <w:rPr>
                <w:rFonts w:ascii="黑体" w:eastAsia="黑体"/>
                <w:sz w:val="28"/>
              </w:rPr>
            </w:pPr>
          </w:p>
        </w:tc>
      </w:tr>
    </w:tbl>
    <w:p/>
    <w:p/>
    <w:sectPr>
      <w:pgSz w:w="11910" w:h="16840"/>
      <w:pgMar w:top="1120" w:right="1180" w:bottom="1100" w:left="1160" w:header="0" w:footer="9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12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93.4pt;margin-top:781.2pt;height:12pt;width:8.5pt;mso-position-horizontal-relative:page;mso-position-vertical-relative:page;z-index:-251659264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BrdUP9oAEAACYDAAAOAAAAZHJzL2Uyb0RvYy54bWyt&#10;UsFuGyEQvVfKPyDuNetVkzQrryNVUaJIUVIpyQdgFrxIwCAg3vUPtH/QUy+557v8HR2I10nbW9UL&#10;DDPD4703LM5Ha8hGhqjBtXQ+qyiRTkCn3bqljw+XHz9TEhN3HTfgZEu3MtLz5dGHxeAbWUMPppOB&#10;IIiLzeBb2qfkG8ai6KXlcQZeOiwqCJYnPIY16wIfEN0aVlfVCRsgdD6AkDFi9uK1SJcFXykp0p1S&#10;USZiWorcUllDWVd5ZcsFb9aB+16LPQ3+Dyws1w4fPUBd8MTJU9B/QVktAkRQaSbAMlBKC1k0oJp5&#10;9Yea+557WbSgOdEfbIr/D1bcbr4GoruW1pQ4bnFEux/fdz9fds/fyLyqT7JDg48NNt57bE3jFxhx&#10;0lM+YjILH1WweUdJBOvo9fbgrxwTEflSdXp2jBWBpflx/akq/rO3yz7EdCXBkhy0NOD4iqt8cxMT&#10;EsHWqSW/5eBSG1NGaNxvCWzMGZaZvzLMURpX417OCrotqjHXDs3MH2MKwhSspuDJB73ukU7RXCBx&#10;GIXM/uPkab8/l4ffvvfy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1Uwt/aAAAADQEAAA8AAAAA&#10;AAAAAQAgAAAAIgAAAGRycy9kb3ducmV2LnhtbFBLAQIUABQAAAAIAIdO4kBrdUP9oAEAACY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12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3.4pt;margin-top:781.2pt;height:12pt;width:8.5pt;mso-position-horizontal-relative:page;mso-position-vertical-relative:page;z-index:-251658240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CNSUbxoAEAACYDAAAOAAAAZHJzL2Uyb0RvYy54bWyt&#10;Uktu2zAQ3RfIHQjuY8pG3Y9gOUARJAhQtAXSHoCmSIsAySGGjCVfoL1BV91033P5HB0yttPPruiG&#10;Gs0M37z3hquryTu205gshI7PZw1nOijobdh2/NPHm8tXnKUsQy8dBN3xvU78an3xbDXGVi9gANdr&#10;ZAQSUjvGjg85x1aIpAbtZZpB1IGKBtDLTL+4FT3KkdC9E4umeSFGwD4iKJ0SZa8fi3xd8Y3RKr83&#10;JunMXMeJW64n1nNTTrFeyXaLMg5WHWnIf2DhpQ009Ax1LbNkD2j/gvJWISQweabACzDGKl01kJp5&#10;84ea+0FGXbWQOSmebUr/D1a9231AZnvaHWdBelrR4euXw7cfh++f2bxZLItDY0wtNd5Has3TG5hK&#10;9zGfKFmETwZ9+ZIkRnXyen/2V0+ZqXKpefl6SRVFpfly8byp/ounyxFTvtXgWQk6jrS+6qrcvU2Z&#10;BlLrqaXMCnBjnasrdOG3BDWWjCjMHxmWKE+b6Uh7A/2e1Li7QGaWh3EK8BRsTsFDRLsdiE7VXCFp&#10;GZXM8eGUbf/6Xwc/Pe/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1Uwt/aAAAADQEAAA8AAAAA&#10;AAAAAQAgAAAAIgAAAGRycy9kb3ducmV2LnhtbFBLAQIUABQAAAAIAIdO4kCNSUbxoAEAACY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3FB83"/>
    <w:multiLevelType w:val="singleLevel"/>
    <w:tmpl w:val="8D43FB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ANILLAHWANG">
    <w15:presenceInfo w15:providerId="WPS Office" w15:userId="2891135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F"/>
    <w:rsid w:val="001F5629"/>
    <w:rsid w:val="002D0E7C"/>
    <w:rsid w:val="005E6328"/>
    <w:rsid w:val="008073A7"/>
    <w:rsid w:val="009D483A"/>
    <w:rsid w:val="009E7E52"/>
    <w:rsid w:val="00B67D39"/>
    <w:rsid w:val="00D84C1B"/>
    <w:rsid w:val="00DC0A0D"/>
    <w:rsid w:val="00EA50BF"/>
    <w:rsid w:val="00ED662E"/>
    <w:rsid w:val="016E2F6B"/>
    <w:rsid w:val="02762FAD"/>
    <w:rsid w:val="06EE79FB"/>
    <w:rsid w:val="092D7FD2"/>
    <w:rsid w:val="0C336B3D"/>
    <w:rsid w:val="0E8E08A5"/>
    <w:rsid w:val="12716875"/>
    <w:rsid w:val="147D2797"/>
    <w:rsid w:val="1B856E5D"/>
    <w:rsid w:val="1EF6105B"/>
    <w:rsid w:val="1FCD1349"/>
    <w:rsid w:val="211B1915"/>
    <w:rsid w:val="213B72EC"/>
    <w:rsid w:val="232E3FC2"/>
    <w:rsid w:val="24DE0172"/>
    <w:rsid w:val="252A423F"/>
    <w:rsid w:val="298866A1"/>
    <w:rsid w:val="29DC081A"/>
    <w:rsid w:val="2DF04EA0"/>
    <w:rsid w:val="3A146263"/>
    <w:rsid w:val="4265383F"/>
    <w:rsid w:val="513B6F55"/>
    <w:rsid w:val="592F39A1"/>
    <w:rsid w:val="66301BDE"/>
    <w:rsid w:val="702045FD"/>
    <w:rsid w:val="71AC4920"/>
    <w:rsid w:val="730519D7"/>
    <w:rsid w:val="761A37F5"/>
    <w:rsid w:val="7756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58"/>
      <w:outlineLvl w:val="0"/>
    </w:pPr>
    <w:rPr>
      <w:rFonts w:ascii="黑体" w:hAnsi="黑体" w:eastAsia="黑体" w:cs="黑体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spacing w:before="2"/>
    </w:pPr>
    <w:rPr>
      <w:sz w:val="24"/>
      <w:szCs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文字 Char"/>
    <w:basedOn w:val="10"/>
    <w:link w:val="3"/>
    <w:qFormat/>
    <w:uiPriority w:val="0"/>
    <w:rPr>
      <w:rFonts w:ascii="宋体" w:hAnsi="宋体" w:eastAsia="宋体" w:cs="宋体"/>
      <w:sz w:val="22"/>
      <w:szCs w:val="22"/>
      <w:lang w:val="zh-CN" w:bidi="zh-CN"/>
    </w:rPr>
  </w:style>
  <w:style w:type="character" w:customStyle="1" w:styleId="16">
    <w:name w:val="批注框文本 Char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页眉 Char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8">
    <w:name w:val="页脚 Char"/>
    <w:basedOn w:val="10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469</Words>
  <Characters>2675</Characters>
  <Lines>22</Lines>
  <Paragraphs>6</Paragraphs>
  <TotalTime>22</TotalTime>
  <ScaleCrop>false</ScaleCrop>
  <LinksUpToDate>false</LinksUpToDate>
  <CharactersWithSpaces>3138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2019-04-01T12:44:00Z</dcterms:created>
  <dc:creator>xiaohuake</dc:creator>
  <cp:lastModifiedBy>VANILLAHWANG</cp:lastModifiedBy>
  <dcterms:modified xsi:type="dcterms:W3CDTF">2021-03-30T07:18:05Z</dcterms:modified>
  <dc:title>天津中医药大学研究生综合能力评价量表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2019-04-01T00:00:00Z</vt:filetime>
  </property>
  <property fmtid="{D5CDD505-2E9C-101B-9397-08002B2CF9AE}" pid="5" name="KSOProductBuildVer">
    <vt:lpwstr>2052-11.3.0.9236</vt:lpwstr>
  </property>
</Properties>
</file>